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57" w:rsidRDefault="00191557" w:rsidP="0019155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Essential Reading</w:t>
      </w:r>
    </w:p>
    <w:p w:rsidR="00191557" w:rsidRDefault="00191557" w:rsidP="001915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Young, A. R. (2010). The Single Market: Deregulation, reregulation, and integration. In H. Wallace, M. A. Pollack, &amp; A. R. Young (Eds.), </w:t>
      </w:r>
      <w:hyperlink r:id="rId5" w:history="1">
        <w:r>
          <w:rPr>
            <w:rStyle w:val="Emphasis"/>
            <w:rFonts w:ascii="Helvetica" w:hAnsi="Helvetica" w:cs="Helvetica"/>
            <w:color w:val="59379E"/>
            <w:sz w:val="21"/>
            <w:szCs w:val="21"/>
          </w:rPr>
          <w:t>Policy-making in the European Union</w:t>
        </w:r>
        <w:r>
          <w:rPr>
            <w:rStyle w:val="apple-converted-space"/>
            <w:rFonts w:ascii="Helvetica" w:hAnsi="Helvetica" w:cs="Helvetica"/>
            <w:i/>
            <w:iCs/>
            <w:color w:val="59379E"/>
            <w:sz w:val="21"/>
            <w:szCs w:val="21"/>
          </w:rPr>
          <w:t> </w:t>
        </w:r>
      </w:hyperlink>
      <w:r>
        <w:rPr>
          <w:rFonts w:ascii="Helvetica" w:hAnsi="Helvetica" w:cs="Helvetica"/>
          <w:color w:val="333333"/>
          <w:sz w:val="21"/>
          <w:szCs w:val="21"/>
        </w:rPr>
        <w:t>(6th edition), pp. 107-131. Oxford: Oxford University Press.</w:t>
      </w:r>
    </w:p>
    <w:p w:rsidR="00191557" w:rsidRDefault="00191557" w:rsidP="0019155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Palley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T. I. (2013).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Europe's crisis without end: The consequences of neoliberalism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Contributions to Political Economy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32</w:t>
      </w:r>
      <w:r>
        <w:rPr>
          <w:rFonts w:ascii="Helvetica" w:hAnsi="Helvetica" w:cs="Helvetica"/>
          <w:color w:val="333333"/>
          <w:sz w:val="21"/>
          <w:szCs w:val="21"/>
        </w:rPr>
        <w:t>, 29-50.</w:t>
      </w:r>
    </w:p>
    <w:p w:rsidR="00191557" w:rsidRDefault="00191557" w:rsidP="00191557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Further Reading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Cabral, R. (2013).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7" w:anchor="AN=1354504&amp;db=ecn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Euro crisis and Portugal’s dilemma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Intereconomics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/Review of European Economic Policy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48</w:t>
      </w:r>
      <w:r>
        <w:rPr>
          <w:rFonts w:ascii="Helvetica" w:hAnsi="Helvetica" w:cs="Helvetica"/>
          <w:color w:val="333333"/>
          <w:sz w:val="21"/>
          <w:szCs w:val="21"/>
        </w:rPr>
        <w:t>(1), 27-32.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Dellas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H.,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Tavlas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G. S. (2013).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8" w:anchor="AN=1401641&amp;db=ecn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gold standard, the euro, and the origins of the Greek sovereign debt crisis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Cato Journal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33</w:t>
      </w:r>
      <w:r>
        <w:rPr>
          <w:rFonts w:ascii="Helvetica" w:hAnsi="Helvetica" w:cs="Helvetica"/>
          <w:color w:val="333333"/>
          <w:sz w:val="21"/>
          <w:szCs w:val="21"/>
        </w:rPr>
        <w:t>(3), 491-520.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Delors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(2013). </w:t>
      </w:r>
      <w:hyperlink r:id="rId9" w:anchor="AN=edselc.2-52.0-84873431405&amp;db=edselc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Economic Governance in the European Union: Past, Present and Future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51</w:t>
      </w:r>
      <w:r>
        <w:rPr>
          <w:rFonts w:ascii="Helvetica" w:hAnsi="Helvetica" w:cs="Helvetica"/>
          <w:color w:val="333333"/>
          <w:sz w:val="21"/>
          <w:szCs w:val="21"/>
        </w:rPr>
        <w:t>(2), 169-178.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Hermann, C. (2007).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0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Neoliberalism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Studies in Political Economy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79</w:t>
      </w:r>
      <w:r>
        <w:rPr>
          <w:rFonts w:ascii="Helvetica" w:hAnsi="Helvetica" w:cs="Helvetica"/>
          <w:color w:val="333333"/>
          <w:sz w:val="21"/>
          <w:szCs w:val="21"/>
        </w:rPr>
        <w:t>, 61-89.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Howarth, D.,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Quaglia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L. (2013).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1" w:anchor="db=edselc&amp;AN=edselc.2-52.0-84881567595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</w:rPr>
          <w:t>Banking Union as Holy Grail: Rebuilding the Single Market in financial services, stabilizing Europe's banks and 'completing' Economic and Monetary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51</w:t>
      </w:r>
      <w:r>
        <w:rPr>
          <w:rFonts w:ascii="Helvetica" w:hAnsi="Helvetica" w:cs="Helvetica"/>
          <w:color w:val="333333"/>
          <w:sz w:val="21"/>
          <w:szCs w:val="21"/>
        </w:rPr>
        <w:t>, 103-123.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Nelson, R. M., Belkin, P., Mix, D. E., &amp; Weiss, M. A. (2012).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2" w:anchor="AN=86164529&amp;db=bth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Eurozone crisis: overview and issues for congress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Current Politics and Economics of Europe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23</w:t>
      </w:r>
      <w:r>
        <w:rPr>
          <w:rFonts w:ascii="Helvetica" w:hAnsi="Helvetica" w:cs="Helvetica"/>
          <w:color w:val="333333"/>
          <w:sz w:val="21"/>
          <w:szCs w:val="21"/>
        </w:rPr>
        <w:t>(1), 1-28.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Ridge, M. (1994).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3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Towards a European nervous system: The role of the economic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Public Administration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72</w:t>
      </w:r>
      <w:r>
        <w:rPr>
          <w:rFonts w:ascii="Helvetica" w:hAnsi="Helvetica" w:cs="Helvetica"/>
          <w:color w:val="333333"/>
          <w:sz w:val="21"/>
          <w:szCs w:val="21"/>
        </w:rPr>
        <w:t>, 127-134. 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Rugina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A. N. (2001).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4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Part I: The European Monetary and Economic Union, in its present form, exposed to insurmountable difficulties</w:t>
        </w:r>
      </w:hyperlink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International Journal of Social Economics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28</w:t>
      </w:r>
      <w:r>
        <w:rPr>
          <w:rFonts w:ascii="Helvetica" w:hAnsi="Helvetica" w:cs="Helvetica"/>
          <w:color w:val="333333"/>
          <w:sz w:val="21"/>
          <w:szCs w:val="21"/>
        </w:rPr>
        <w:t>(1/2), 71-116.</w:t>
      </w:r>
    </w:p>
    <w:p w:rsidR="00191557" w:rsidRDefault="00191557" w:rsidP="001915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Schild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(2013).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5" w:anchor="AN=87656005&amp;db=sih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Leadership in hard times: Germany, France, and the management of the Eurozone crisis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German Politics and Society</w:t>
      </w:r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31</w:t>
      </w:r>
      <w:r>
        <w:rPr>
          <w:rFonts w:ascii="Helvetica" w:hAnsi="Helvetica" w:cs="Helvetica"/>
          <w:color w:val="333333"/>
          <w:sz w:val="21"/>
          <w:szCs w:val="21"/>
        </w:rPr>
        <w:t>(106), 24-47</w:t>
      </w:r>
    </w:p>
    <w:p w:rsidR="00D210D8" w:rsidRDefault="00191557">
      <w:bookmarkStart w:id="0" w:name="_GoBack"/>
      <w:bookmarkEnd w:id="0"/>
    </w:p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958"/>
    <w:multiLevelType w:val="hybridMultilevel"/>
    <w:tmpl w:val="F284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55A2"/>
    <w:multiLevelType w:val="hybridMultilevel"/>
    <w:tmpl w:val="4E84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B5"/>
    <w:rsid w:val="00144EB5"/>
    <w:rsid w:val="00191557"/>
    <w:rsid w:val="00792D60"/>
    <w:rsid w:val="008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9F33F-A58C-4953-9D6C-3FB41889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15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155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1557"/>
    <w:rPr>
      <w:i/>
      <w:iCs/>
    </w:rPr>
  </w:style>
  <w:style w:type="character" w:customStyle="1" w:styleId="apple-converted-space">
    <w:name w:val="apple-converted-space"/>
    <w:basedOn w:val="DefaultParagraphFont"/>
    <w:rsid w:val="0019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s.a.ebscohost.com/eds/detail/detail?vid=16&amp;sid=1ace2553-f4a4-41e9-a14b-bd95dd709e4d%40sessionmgr4006&amp;hid=4205&amp;bdata=JnNpdGU9ZWRzLWxpdmU%3d" TargetMode="External"/><Relationship Id="rId13" Type="http://schemas.openxmlformats.org/officeDocument/2006/relationships/hyperlink" Target="http://onlinelibrary.wiley.com/doi/10.1111/j.1467-9299.1994.tb01003.x/abs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s.a.ebscohost.com/eds/detail/detail?vid=10&amp;sid=1ace2553-f4a4-41e9-a14b-bd95dd709e4d%40sessionmgr4006&amp;hid=4205&amp;bdata=JnNpdGU9ZWRzLWxpdmU%3d" TargetMode="External"/><Relationship Id="rId12" Type="http://schemas.openxmlformats.org/officeDocument/2006/relationships/hyperlink" Target="http://eds.a.ebscohost.com/eds/detail/detail?vid=12&amp;sid=1ace2553-f4a4-41e9-a14b-bd95dd709e4d%40sessionmgr4006&amp;hid=4205&amp;bdata=JnNpdGU9ZWRzLWxpdmU%3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pe.oxfordjournals.org/content/32/1/29" TargetMode="External"/><Relationship Id="rId11" Type="http://schemas.openxmlformats.org/officeDocument/2006/relationships/hyperlink" Target="http://eds.a.ebscohost.com/eds/detail/detail?vid=6&amp;sid=1ace2553-f4a4-41e9-a14b-bd95dd709e4d%40sessionmgr4006&amp;hid=4205&amp;bdata=JnNpdGU9ZWRzLWxpdmU%3d" TargetMode="External"/><Relationship Id="rId5" Type="http://schemas.openxmlformats.org/officeDocument/2006/relationships/hyperlink" Target="http://capitadiscovery.co.uk/port/items/975141?query=policy+making+in+the+european+union&amp;resultsUri=items%3Fquery%3Dpolicy%2Bmaking%2Bin%2Bthe%2Beuropean%2Bunion" TargetMode="External"/><Relationship Id="rId15" Type="http://schemas.openxmlformats.org/officeDocument/2006/relationships/hyperlink" Target="http://eds.a.ebscohost.com/eds/detail/detail?vid=14&amp;sid=1ace2553-f4a4-41e9-a14b-bd95dd709e4d%40sessionmgr4006&amp;hid=4205&amp;bdata=JnNpdGU9ZWRzLWxpdmU%3d" TargetMode="External"/><Relationship Id="rId10" Type="http://schemas.openxmlformats.org/officeDocument/2006/relationships/hyperlink" Target="http://www.tandfonline.com/doi/pdf/10.1080/19187033.2007.11675092?needAcces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s.a.ebscohost.com/eds/detail/detail?vid=20&amp;sid=1ace2553-f4a4-41e9-a14b-bd95dd709e4d%40sessionmgr4006&amp;hid=4205&amp;bdata=JnNpdGU9ZWRzLWxpdmU%3d" TargetMode="External"/><Relationship Id="rId14" Type="http://schemas.openxmlformats.org/officeDocument/2006/relationships/hyperlink" Target="http://www.emeraldinsight.com/doi/full/10.1108/0306829011035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>University of Portsmouth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2017-02-13T15:21:00Z</dcterms:created>
  <dcterms:modified xsi:type="dcterms:W3CDTF">2017-02-13T15:21:00Z</dcterms:modified>
</cp:coreProperties>
</file>